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4"/>
        <w:gridCol w:w="1636"/>
      </w:tblGrid>
      <w:tr w:rsidR="00F865D8" w:rsidRPr="00F865D8" w:rsidTr="00F865D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 финансово-хозяйственной деятельности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 финансово-хозяйственной деятельности </w:t>
            </w:r>
            <w:proofErr w:type="gramStart"/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2017 - 2018 год</w:t>
            </w:r>
          </w:p>
        </w:tc>
      </w:tr>
    </w:tbl>
    <w:p w:rsidR="00F865D8" w:rsidRPr="00F865D8" w:rsidRDefault="00F865D8" w:rsidP="00F865D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5D8" w:rsidRPr="00F865D8" w:rsidRDefault="00F865D8" w:rsidP="00F865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5D8">
        <w:rPr>
          <w:rFonts w:ascii="Times New Roman" w:eastAsia="Times New Roman" w:hAnsi="Times New Roman"/>
          <w:sz w:val="24"/>
          <w:szCs w:val="24"/>
          <w:lang w:eastAsia="ru-RU"/>
        </w:rPr>
        <w:t>Показатели финансового состояния учреждения</w:t>
      </w:r>
    </w:p>
    <w:p w:rsidR="00F865D8" w:rsidRPr="00F865D8" w:rsidRDefault="00F865D8" w:rsidP="00F865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2"/>
        <w:gridCol w:w="1455"/>
      </w:tblGrid>
      <w:tr w:rsidR="00F865D8" w:rsidRPr="00F865D8" w:rsidTr="00F865D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балансовой стоимости нефинансовых активов: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10,989,068.00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Особо ценное движимое имущество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10,989,068.00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финансовых активов: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дебиторской задолженности по доходам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дебиторской задолженности по расходам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обязательств: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просроченной кредиторской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</w:tbl>
    <w:p w:rsidR="00F865D8" w:rsidRPr="00F865D8" w:rsidRDefault="00F865D8" w:rsidP="00F865D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65D8" w:rsidRPr="00F865D8" w:rsidRDefault="00F865D8" w:rsidP="00F865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5D8">
        <w:rPr>
          <w:rFonts w:ascii="Times New Roman" w:eastAsia="Times New Roman" w:hAnsi="Times New Roman"/>
          <w:sz w:val="24"/>
          <w:szCs w:val="24"/>
          <w:lang w:eastAsia="ru-RU"/>
        </w:rPr>
        <w:t>Плановые показатели поступлений и выплат</w:t>
      </w:r>
    </w:p>
    <w:p w:rsidR="00F865D8" w:rsidRPr="00F865D8" w:rsidRDefault="00F865D8" w:rsidP="00F865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0"/>
        <w:gridCol w:w="1365"/>
      </w:tblGrid>
      <w:tr w:rsidR="00F865D8" w:rsidRPr="00F865D8" w:rsidTr="00F865D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суммы поступлений: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3,513,322.70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18,870.00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платных услуг (выполнение работ) и иная приносящая доход деятельность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3,532,192.70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суммы выплат: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3,060,812.70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связи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5,564.00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транспортных услуг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500.00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159,000.00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52,000.00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нематериальных активов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47,316.00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3,532,192.70</w:t>
            </w:r>
          </w:p>
        </w:tc>
      </w:tr>
      <w:tr w:rsidR="00F865D8" w:rsidRPr="00F865D8" w:rsidTr="00F865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Планируемая сумма выплат по публичным обязательствам</w:t>
            </w:r>
          </w:p>
        </w:tc>
        <w:tc>
          <w:tcPr>
            <w:tcW w:w="0" w:type="auto"/>
            <w:vAlign w:val="center"/>
            <w:hideMark/>
          </w:tcPr>
          <w:p w:rsidR="00F865D8" w:rsidRPr="00F865D8" w:rsidRDefault="00F865D8" w:rsidP="00F865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0.00</w:t>
            </w:r>
          </w:p>
        </w:tc>
      </w:tr>
    </w:tbl>
    <w:p w:rsidR="003C5E7C" w:rsidRDefault="00F865D8" w:rsidP="00F865D8">
      <w:pPr>
        <w:spacing w:after="0" w:line="240" w:lineRule="auto"/>
      </w:pPr>
      <w:r w:rsidRPr="00F865D8">
        <w:rPr>
          <w:rFonts w:ascii="Times New Roman" w:eastAsia="Times New Roman" w:hAnsi="Times New Roman"/>
          <w:sz w:val="24"/>
          <w:szCs w:val="24"/>
          <w:lang w:eastAsia="ru-RU"/>
        </w:rPr>
        <w:t>Документы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865D8">
        <w:rPr>
          <w:rFonts w:ascii="Times New Roman" w:eastAsia="Times New Roman" w:hAnsi="Times New Roman"/>
          <w:sz w:val="24"/>
          <w:szCs w:val="24"/>
          <w:lang w:eastAsia="ru-RU"/>
        </w:rPr>
        <w:t>История изменений</w:t>
      </w:r>
    </w:p>
    <w:sectPr w:rsidR="003C5E7C" w:rsidSect="005B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865D8"/>
    <w:rsid w:val="002A0876"/>
    <w:rsid w:val="00585490"/>
    <w:rsid w:val="005B16FA"/>
    <w:rsid w:val="00813A16"/>
    <w:rsid w:val="00A578C6"/>
    <w:rsid w:val="00C00CF8"/>
    <w:rsid w:val="00DF20EF"/>
    <w:rsid w:val="00E3467C"/>
    <w:rsid w:val="00F8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1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2016-03-28T13:50:00Z</dcterms:created>
  <dcterms:modified xsi:type="dcterms:W3CDTF">2016-03-28T13:51:00Z</dcterms:modified>
</cp:coreProperties>
</file>